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Ақтөбе қаласының білім бөлімі ММ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№ 32 «Қуаныш» балабақшасы</w:t>
      </w:r>
    </w:p>
    <w:p w14:paraId="03000000"/>
    <w:p w14:paraId="04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56"/>
        </w:rPr>
      </w:pPr>
      <w:r>
        <w:rPr>
          <w:rFonts w:ascii="Times New Roman" w:hAnsi="Times New Roman"/>
          <w:b w:val="1"/>
          <w:sz w:val="56"/>
        </w:rPr>
        <w:t>«Біртұтас тәрбие бағдарламасы» іске асыру жөнінде іс-шаралар жоспары</w:t>
      </w:r>
    </w:p>
    <w:p w14:paraId="09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A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E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0F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10000000">
      <w:pPr>
        <w:ind/>
        <w:jc w:val="center"/>
        <w:rPr>
          <w:rFonts w:ascii="Times New Roman" w:hAnsi="Times New Roman"/>
          <w:b w:val="1"/>
          <w:sz w:val="56"/>
        </w:rPr>
      </w:pPr>
    </w:p>
    <w:p w14:paraId="1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Ақтөбе қаласы </w:t>
      </w:r>
    </w:p>
    <w:p w14:paraId="1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shd w:fill="F5F5F5" w:val="clear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212745"/>
          <w:spacing w:val="0"/>
          <w:sz w:val="24"/>
          <w:shd w:fill="F5F5F5" w:val="clear"/>
        </w:rPr>
        <w:t>Білім беру ұйымдарында «Біртұтас тәрбие» бағдарламасын жүзеге асыру бойынша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shd w:fill="F5F5F5" w:val="clear"/>
        </w:rPr>
        <w:t>​</w:t>
      </w:r>
    </w:p>
    <w:p w14:paraId="13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shd w:fill="F5F5F5" w:val="clear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212745"/>
          <w:spacing w:val="0"/>
          <w:sz w:val="24"/>
          <w:shd w:fill="F5F5F5" w:val="clear"/>
        </w:rPr>
        <w:t>жұмыс жоспары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shd w:fill="F5F5F5" w:val="clear"/>
        </w:rPr>
        <w:t>​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6"/>
        <w:gridCol w:w="3863"/>
        <w:gridCol w:w="2195"/>
        <w:gridCol w:w="1141"/>
        <w:gridCol w:w="1956"/>
      </w:tblGrid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Қыркүйек – еңбекқорлыққа және кәсіби біліктілік 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қыркүйек – Білім күні "Балабақша – жайлы мекен"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Балабақшада экскурсия өткізу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2.09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"Болашақ бірінші сынып оқушысының мектебі"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Ата-аналар клубын құру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9-10.09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әдіскер, педагогтер, ата-аналар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"Тілім менің тірегім"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мәнерлеп оқу конкурсы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4-5.09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"Балалар кітапханасы" жобасы аясында "Кітаппен жарқын әлемге"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16-20.09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әдіскер, ересек тобы тәрбиешілер, ата-аналар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"SMART BALA" жобасы </w:t>
            </w:r>
            <w:r>
              <w:rPr>
                <w:rFonts w:ascii="Times New Roman" w:hAnsi="Times New Roman"/>
                <w:sz w:val="24"/>
              </w:rPr>
              <w:t>аясында "Өнертапқыштыққа алғашқы қадам"</w:t>
            </w:r>
          </w:p>
          <w:p w14:paraId="2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Құрастыру бойынша балалар іс-әрекеті (байқау)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16-20.09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мектепалды тобы тәрбиешілері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"Тенге алу", "Асық", "Кішкентай сатушы", "Дүкен", "Банк", ойындары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дидактикалық, ұлттық, сюжетті-рөлдік ойындар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23-27.09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мектепалды тобы және ересек тобы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"Ұлтттық ойын – қазынасы" 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Ұлттық ойындар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/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ортаңғы тобы</w:t>
            </w: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Қазан – тәуелсіздік және отаншылдық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"Жас эколог" экологиялық жоба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танымдық эксперименттік іс-әрекет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1-3.10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ересек тобы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"Ұлттық ойын – ұлт қазынасы" Бестемше: "Татулық, бірлік ұраны!"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спорттық ойындар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6-8.10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әдіскер, ересек тобы және мектепалды тобы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"Қазақстан – Республикам менің" 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мерекелік шаралар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20-24.10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"Қамқор" жобасы аясында Қоғамға қызмет ету волонтерлік қызмет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апта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ата-аналар қауымдастығын тарту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"Еңбегі адал – жас өрен" жобасы аясында "Күзгі асар" жәрмеңкесі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тәрбиеленушілер күзгі егіннің табиғи материалдары мен орман табиғаттың көркем сыйларын пайдалана отырып ата-аналар мен бірге жасаған қолөнер бұйымдарынан жәрмеңке өткізу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әдіскер, педагогтер, шаруашылық меңгерушісі, ата-аналар</w:t>
            </w:r>
          </w:p>
          <w:p w14:paraId="5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Қараша – әділдік және жауапкершілік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"Бағдаршам және біз"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Сюжеттік-рөлдік драмалау ойындары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3-7.11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 тәрбиешілері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"Қоғамдық көлікті қорға" "Балабақша өз үйім"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Әңгімелесу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10-14.11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 тәрбиешілері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"Адалдық алаңы"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мультфильм қарау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17-21.11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 тәрбиешілері</w:t>
            </w: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Желтоқсан – бірлік және ынтымақ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"Мен елімнің патриотымын!"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мәнерлеп оқу байқауы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1-5.12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ересек тобы және мектепалды тобы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"Зерек бала, ақылды бала" 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Зияткелік ойын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8-12.12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тәрбиешілер, жас ата-аналар мектебі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"Еңбегі адал – жас өрен" жобасы аясында "Шырша ойыншықтары"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тәрбиеленушілер қалдық  және табиғи материалдарды пайдалана отырып ата-аналар мен бірге жасаған қолөнер бұйымдарынан жәрмеңке өткізу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15-19.12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педагогтер, ата-аналар</w:t>
            </w: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Қаңтар – заң және тәртіп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"Айырмашылығын тап" , "Бестемше", "Ақшаны жұмсауды үйренеміз", ойындары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дидактикалық, ұлттық, сюжетті-рөлдік ойындар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6-10.01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"Менің құқықтарым, менің міндеттерім"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әңгімелесу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13-17.01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"Қамқор" жобасы аясында "Біз табиғат қорғаушыларымыз!"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танымдық, эксперименталдық іс-әрекет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20-24.12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"Қыста, құстарды тамақтандырайық" (жемсауыт жасау)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челлендж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ай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Ақпан – жасампаздық пен жаңашылдық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"Ізденімпаз білдіршін" өнер тапқыштыққа алғашқы қадам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танымдық, эксперименталдық іс-әрекет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3-7.02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Ұлттық ойындар </w:t>
            </w:r>
          </w:p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"Ханталапай", "Сақина салу", "Ақ сүйек"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ұлттық ойындар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10-14.02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ересек тобы, мектепалды тобы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"Жаңа өмір сыйлайық"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Қалдық заттардан жасалған қол өнер бұйымдарының көрмесі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17-21.02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Наурыз – тәуелсіздік және отаншылдық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"Ізгіліктің бір ізі – алғыс" 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челлендж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3-4.03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"Ұлттық мәдениет – ұлттық киімдер"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челлендж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5-6.03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"Әкенің еңбегі – елге үлгі, ұрпаққа өнеге"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ересектердің еңбегімен таныстыру бойынша ұйымдастырылған шебер класс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10-14.03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"Наурыз той думан!"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мерекелік шара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17-21.03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"Қамқор" жобасы аясында "Су – өмір көзі" бейне роликтер  байқауы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экологиялық акция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24-28.03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Сәуір – еңбекқорлық және кәсіби біліктілік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"Балалар кітапханасы" жобасы аясында "Шын жүректен кітап сыйла", "Макалатура жинайық – ағаштарды сақтайық!" Халықаралық балалар кітабы күні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челлендж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"Қамқор" жобасы аясында "Түлектердің ағаш егуі"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экочеллендж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апта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мектепалды тобы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"Қоғамдық орында өзін-өзі ұстау мәдениеті" </w:t>
            </w:r>
          </w:p>
          <w:p w14:paraId="C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"Көңілді автобус", "Театр" және т.б.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сюжетті-рөлдік ойындар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"Еңбегі адал – жас өрен" жобасы аясында "Мамандықтар әлемі", "Сауда үйі", "Сән салоны", "Аспазшы", "Құрылысшы", "Ұшқыш", "Емхана", "Тігінші" "Техникалық қызмет көрсету станциясы" және т.б.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сюжетті-рөлдік ойындар</w:t>
            </w:r>
          </w:p>
          <w:p w14:paraId="C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апта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"Болашақ оқырмандар" (мектеп кітапханасына)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кездесу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мектепалды тобы</w:t>
            </w:r>
          </w:p>
        </w:tc>
      </w:tr>
      <w:tr>
        <w:trPr>
          <w:trHeight w:hRule="atLeast" w:val="360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Мамыр – бірлік және ынтымақ айы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"Достықтың кілті бірлікте!"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сурет көрмесі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апта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"Шебер әке" 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қол өнер байқауы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апта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ересек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"Шабыт" жобасы аясында "Балалақ шағымның жыр әні!"</w:t>
            </w:r>
          </w:p>
          <w:p w14:paraId="D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#Әншуақ хэштегімен "Тік ток" әлеуметтік желісіне жариялау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ән байқауы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апта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"Батыл сарбаздар!"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мерекелік шара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5-9.05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ересек, мектепалды топтары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"Табиғатқа қамқорлық жасаймыз!"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барлық топтар</w:t>
            </w:r>
          </w:p>
        </w:tc>
      </w:tr>
      <w:tr>
        <w:trPr>
          <w:trHeight w:hRule="atLeast" w:val="360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"Отабасылық таза ауадағы демалыс"</w:t>
            </w:r>
          </w:p>
        </w:tc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отбасы күніне арналған апталық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F1000000">
      <w:pPr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709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Balloon Text"/>
    <w:basedOn w:val="Style_1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  <w:rPr>
      <w:rFonts w:ascii="Calibri" w:hAnsi="Calibri"/>
    </w:rPr>
  </w:style>
  <w:style w:styleId="Style_16_ch" w:type="character">
    <w:name w:val="List Paragraph"/>
    <w:basedOn w:val="Style_1_ch"/>
    <w:link w:val="Style_16"/>
    <w:rPr>
      <w:rFonts w:ascii="Calibri" w:hAnsi="Calibri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2025-01-31T11:14:20Z</dcterms:modified>
</cp:coreProperties>
</file>